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735D7A">
      <w:pPr>
        <w:adjustRightInd w:val="0"/>
        <w:snapToGrid w:val="0"/>
        <w:jc w:val="center"/>
        <w:rPr>
          <w:rFonts w:hint="eastAsia" w:ascii="仿宋" w:hAnsi="仿宋" w:eastAsia="仿宋" w:cs="仿宋"/>
          <w:sz w:val="32"/>
          <w:szCs w:val="32"/>
        </w:rPr>
      </w:pPr>
      <w:r>
        <w:rPr>
          <w:rFonts w:hint="eastAsia" w:ascii="方正小标宋简体" w:hAnsi="方正小标宋简体" w:eastAsia="方正小标宋简体" w:cs="方正小标宋简体"/>
          <w:sz w:val="44"/>
          <w:szCs w:val="44"/>
        </w:rPr>
        <w:t>安徽省生产力促进中心联合会业务合作办法</w:t>
      </w:r>
      <w:r>
        <w:rPr>
          <w:rFonts w:hint="eastAsia" w:ascii="方正小标宋简体" w:hAnsi="方正小标宋简体" w:eastAsia="方正小标宋简体" w:cs="方正小标宋简体"/>
          <w:color w:val="EE0000"/>
          <w:sz w:val="30"/>
          <w:szCs w:val="30"/>
        </w:rPr>
        <w:t>（2026年修订征集稿）</w:t>
      </w:r>
    </w:p>
    <w:p w14:paraId="39FDDF70">
      <w:pPr>
        <w:adjustRightInd w:val="0"/>
        <w:snapToGrid w:val="0"/>
        <w:spacing w:line="360" w:lineRule="auto"/>
        <w:ind w:firstLine="640" w:firstLineChars="200"/>
        <w:rPr>
          <w:rFonts w:hint="eastAsia" w:ascii="仿宋" w:hAnsi="仿宋" w:eastAsia="仿宋" w:cs="仿宋"/>
          <w:sz w:val="32"/>
          <w:szCs w:val="32"/>
        </w:rPr>
      </w:pPr>
    </w:p>
    <w:p w14:paraId="3DF15764">
      <w:pPr>
        <w:jc w:val="center"/>
        <w:rPr>
          <w:rFonts w:hint="eastAsia" w:ascii="仿宋" w:hAnsi="仿宋" w:eastAsia="仿宋" w:cs="仿宋"/>
          <w:sz w:val="30"/>
          <w:szCs w:val="30"/>
        </w:rPr>
      </w:pPr>
      <w:r>
        <w:rPr>
          <w:rFonts w:hint="eastAsia" w:ascii="黑体" w:hAnsi="黑体" w:eastAsia="黑体" w:cs="黑体"/>
          <w:sz w:val="30"/>
          <w:szCs w:val="30"/>
        </w:rPr>
        <w:t xml:space="preserve">第一章 总则 </w:t>
      </w:r>
    </w:p>
    <w:p w14:paraId="05292F55">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第一条 为促进会员间深度合作，优化资源配置，规范业务合作利益分配机制，制定本办法。  </w:t>
      </w:r>
    </w:p>
    <w:p w14:paraId="12C3FC46">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第二条 本办法适用于联合会会员单位基于共同业务项目开展合作时的利益分配及相关事宜。</w:t>
      </w:r>
    </w:p>
    <w:p w14:paraId="083B98A8">
      <w:pPr>
        <w:adjustRightInd w:val="0"/>
        <w:snapToGrid w:val="0"/>
        <w:spacing w:line="360" w:lineRule="auto"/>
        <w:jc w:val="center"/>
        <w:rPr>
          <w:rFonts w:hint="eastAsia" w:ascii="仿宋" w:hAnsi="仿宋" w:eastAsia="仿宋" w:cs="仿宋"/>
          <w:sz w:val="30"/>
          <w:szCs w:val="30"/>
        </w:rPr>
      </w:pPr>
      <w:r>
        <w:rPr>
          <w:rFonts w:hint="eastAsia" w:ascii="黑体" w:hAnsi="黑体" w:eastAsia="黑体" w:cs="黑体"/>
          <w:sz w:val="30"/>
          <w:szCs w:val="30"/>
        </w:rPr>
        <w:t>第二章 合作原则</w:t>
      </w:r>
    </w:p>
    <w:p w14:paraId="17C6D4DB">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第三条 公平公正原则  </w:t>
      </w:r>
    </w:p>
    <w:p w14:paraId="0AD1BBB9">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根据会员在合作中的实际投入（包括资金、技术、人力等）、贡献度及风险承担情况，合理确定利润分配比例，确保分配过程公开透明、结果公正。  </w:t>
      </w:r>
    </w:p>
    <w:p w14:paraId="038F8727">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第四条 质量承诺原则  </w:t>
      </w:r>
    </w:p>
    <w:p w14:paraId="6AEF7F06">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会员应充分发挥专业优势，确保资源投入和服务质量，目标达成100%客户满意度。鼓励会员签署《服务质量承诺书》（见附件1）。  </w:t>
      </w:r>
    </w:p>
    <w:p w14:paraId="0DBF2D69">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第五条 动态调整原则 </w:t>
      </w:r>
    </w:p>
    <w:p w14:paraId="5C808E74">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合作期间如遇市场环境变化、成员贡献度调整等重大因素，经协商可对分配比例进行动态修订，以保持机制合理性。  </w:t>
      </w:r>
    </w:p>
    <w:p w14:paraId="388D02E2">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第六条 分配透明原则 </w:t>
      </w:r>
    </w:p>
    <w:p w14:paraId="6C0B9F1E">
      <w:pPr>
        <w:adjustRightInd w:val="0"/>
        <w:snapToGrid w:val="0"/>
        <w:spacing w:line="360" w:lineRule="auto"/>
        <w:ind w:firstLine="640"/>
        <w:rPr>
          <w:rFonts w:hint="eastAsia" w:ascii="仿宋" w:hAnsi="仿宋" w:eastAsia="仿宋" w:cs="仿宋"/>
          <w:sz w:val="30"/>
          <w:szCs w:val="30"/>
        </w:rPr>
      </w:pPr>
      <w:r>
        <w:rPr>
          <w:rFonts w:hint="eastAsia" w:ascii="仿宋" w:hAnsi="仿宋" w:eastAsia="仿宋" w:cs="仿宋"/>
          <w:sz w:val="30"/>
          <w:szCs w:val="30"/>
        </w:rPr>
        <w:t>1.现有会员推荐新会员入会</w:t>
      </w:r>
    </w:p>
    <w:p w14:paraId="3CE2EF65">
      <w:pPr>
        <w:adjustRightInd w:val="0"/>
        <w:snapToGrid w:val="0"/>
        <w:spacing w:line="360" w:lineRule="auto"/>
        <w:ind w:firstLine="640"/>
        <w:rPr>
          <w:rFonts w:hint="eastAsia" w:ascii="仿宋" w:hAnsi="仿宋" w:eastAsia="仿宋" w:cs="仿宋"/>
          <w:sz w:val="30"/>
          <w:szCs w:val="30"/>
        </w:rPr>
      </w:pPr>
      <w:r>
        <w:rPr>
          <w:rFonts w:hint="eastAsia" w:ascii="仿宋" w:hAnsi="仿宋" w:eastAsia="仿宋" w:cs="仿宋"/>
          <w:sz w:val="30"/>
          <w:szCs w:val="30"/>
        </w:rPr>
        <w:t>老会员推荐新会员入会，联合会给予活动经费补贴。</w:t>
      </w:r>
    </w:p>
    <w:p w14:paraId="3871C1CB">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2.会员间业务推介</w:t>
      </w:r>
      <w:bookmarkStart w:id="1" w:name="_GoBack"/>
      <w:bookmarkEnd w:id="1"/>
    </w:p>
    <w:p w14:paraId="4CFC12F3">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推介方通过联合会将业务推荐给其他会员，承接方按合同金额20%支付推介方作为回报；联合会不收取经费，负责对接协调及履约监督。  </w:t>
      </w:r>
    </w:p>
    <w:p w14:paraId="2E9C03FF">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3.联合会直接推介业务 </w:t>
      </w:r>
    </w:p>
    <w:p w14:paraId="51C86DFC">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联合会通过非会员渠道推介业务至会员，承接方按合同金额的10%支付资源方，另10%捐赠至联合会作为联合会活动经费；</w:t>
      </w:r>
    </w:p>
    <w:p w14:paraId="016D0394">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联合会负责全程组织、协调及督办。</w:t>
      </w:r>
    </w:p>
    <w:p w14:paraId="3FEB4E86">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4.特殊业务处理</w:t>
      </w:r>
    </w:p>
    <w:p w14:paraId="6BB6412D">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（1）联合会收集整理优质成果/项目、企业技术需求并发布等活动开展中，</w:t>
      </w:r>
      <w:bookmarkStart w:id="0" w:name="_Hlk220668449"/>
      <w:r>
        <w:rPr>
          <w:rFonts w:hint="eastAsia" w:ascii="仿宋" w:hAnsi="仿宋" w:eastAsia="仿宋" w:cs="仿宋"/>
          <w:sz w:val="30"/>
          <w:szCs w:val="30"/>
        </w:rPr>
        <w:t>意向合作</w:t>
      </w:r>
      <w:bookmarkEnd w:id="0"/>
      <w:r>
        <w:rPr>
          <w:rFonts w:hint="eastAsia" w:ascii="仿宋" w:hAnsi="仿宋" w:eastAsia="仿宋" w:cs="仿宋"/>
          <w:sz w:val="30"/>
          <w:szCs w:val="30"/>
        </w:rPr>
        <w:t>方原则上先成为联合会会员。</w:t>
      </w:r>
    </w:p>
    <w:p w14:paraId="1C8BC24A">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（2）意向合作方捐赠至联合会活动经费中，参与的会员享有的10%额度的专家咨询奖励。 </w:t>
      </w:r>
    </w:p>
    <w:p w14:paraId="11544DD6">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（3）联合会“新质生产力”专家成功承接，相关标准参照《安徽省生产力促进中心联合会专家管理办法》约定。 </w:t>
      </w:r>
    </w:p>
    <w:p w14:paraId="4402A853">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（4）其它重大或复杂项目，可采取"一事一议"方式协商分配方案。</w:t>
      </w:r>
    </w:p>
    <w:p w14:paraId="7FDC2D97">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第七条 按时分配原则</w:t>
      </w:r>
    </w:p>
    <w:p w14:paraId="7C074774">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以上第六条所述收益分配的各项费用，支付时间应自款到账起15个工作日内完成。</w:t>
      </w:r>
    </w:p>
    <w:p w14:paraId="4EF875A9">
      <w:pPr>
        <w:adjustRightInd w:val="0"/>
        <w:snapToGrid w:val="0"/>
        <w:spacing w:line="360" w:lineRule="auto"/>
        <w:jc w:val="center"/>
        <w:rPr>
          <w:rFonts w:hint="eastAsia" w:ascii="黑体" w:hAnsi="黑体" w:eastAsia="黑体" w:cs="黑体"/>
          <w:sz w:val="30"/>
          <w:szCs w:val="30"/>
        </w:rPr>
      </w:pPr>
      <w:r>
        <w:rPr>
          <w:rFonts w:hint="eastAsia" w:ascii="黑体" w:hAnsi="黑体" w:eastAsia="黑体" w:cs="黑体"/>
          <w:sz w:val="30"/>
          <w:szCs w:val="30"/>
        </w:rPr>
        <w:t>第三章 附则</w:t>
      </w:r>
    </w:p>
    <w:p w14:paraId="08C172C0">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 xml:space="preserve">第八条 本办法由安徽省生产力促进中心联合会负责解释。  </w:t>
      </w:r>
    </w:p>
    <w:p w14:paraId="38AC5F18">
      <w:pPr>
        <w:adjustRightInd w:val="0"/>
        <w:snapToGrid w:val="0"/>
        <w:spacing w:line="360" w:lineRule="auto"/>
        <w:ind w:firstLine="600" w:firstLineChars="200"/>
        <w:rPr>
          <w:rFonts w:hint="eastAsia" w:ascii="仿宋" w:hAnsi="仿宋" w:eastAsia="仿宋" w:cs="仿宋"/>
          <w:sz w:val="30"/>
          <w:szCs w:val="30"/>
        </w:rPr>
      </w:pPr>
      <w:r>
        <w:rPr>
          <w:rFonts w:hint="eastAsia" w:ascii="仿宋" w:hAnsi="仿宋" w:eastAsia="仿宋" w:cs="仿宋"/>
          <w:sz w:val="30"/>
          <w:szCs w:val="30"/>
        </w:rPr>
        <w:t>第九条 本办法经第三届第二次会员大会审议通过，自发布之日起生效。</w:t>
      </w:r>
    </w:p>
    <w:p w14:paraId="42244BAE">
      <w:pPr>
        <w:adjustRightInd w:val="0"/>
        <w:snapToGrid w:val="0"/>
        <w:jc w:val="center"/>
        <w:rPr>
          <w:rFonts w:hint="eastAsia" w:ascii="华文中宋" w:hAnsi="华文中宋" w:eastAsia="华文中宋" w:cs="方正大标宋_GBK"/>
          <w:sz w:val="30"/>
          <w:szCs w:val="30"/>
        </w:rPr>
      </w:pPr>
    </w:p>
    <w:p w14:paraId="2B8CA11F">
      <w:pPr>
        <w:adjustRightInd w:val="0"/>
        <w:snapToGrid w:val="0"/>
        <w:jc w:val="center"/>
        <w:rPr>
          <w:rFonts w:hint="eastAsia" w:ascii="华文中宋" w:hAnsi="华文中宋" w:eastAsia="华文中宋" w:cs="方正大标宋_GBK"/>
          <w:sz w:val="44"/>
          <w:szCs w:val="44"/>
        </w:rPr>
      </w:pPr>
    </w:p>
    <w:p w14:paraId="43259B44">
      <w:pPr>
        <w:adjustRightInd w:val="0"/>
        <w:snapToGrid w:val="0"/>
        <w:jc w:val="center"/>
        <w:rPr>
          <w:rFonts w:hint="eastAsia" w:ascii="华文中宋" w:hAnsi="华文中宋" w:eastAsia="华文中宋" w:cs="方正大标宋_GBK"/>
          <w:sz w:val="44"/>
          <w:szCs w:val="44"/>
        </w:rPr>
      </w:pPr>
      <w:r>
        <w:rPr>
          <w:rFonts w:hint="eastAsia" w:ascii="华文中宋" w:hAnsi="华文中宋" w:eastAsia="华文中宋" w:cs="方正大标宋_GBK"/>
          <w:sz w:val="44"/>
          <w:szCs w:val="44"/>
        </w:rPr>
        <w:t>安徽省生产力促进中心联合会</w:t>
      </w:r>
    </w:p>
    <w:p w14:paraId="14C248E9">
      <w:pPr>
        <w:adjustRightInd w:val="0"/>
        <w:snapToGrid w:val="0"/>
        <w:jc w:val="center"/>
        <w:rPr>
          <w:rFonts w:hint="eastAsia" w:ascii="华文中宋" w:hAnsi="华文中宋" w:eastAsia="华文中宋" w:cs="方正大标宋_GBK"/>
          <w:sz w:val="44"/>
          <w:szCs w:val="44"/>
        </w:rPr>
      </w:pPr>
      <w:r>
        <w:rPr>
          <w:rFonts w:hint="eastAsia" w:ascii="华文中宋" w:hAnsi="华文中宋" w:eastAsia="华文中宋" w:cs="方正大标宋_GBK"/>
          <w:sz w:val="44"/>
          <w:szCs w:val="44"/>
        </w:rPr>
        <w:t>业务合作承诺书</w:t>
      </w:r>
      <w:r>
        <w:rPr>
          <w:rFonts w:hint="eastAsia" w:ascii="华文中宋" w:hAnsi="华文中宋" w:eastAsia="华文中宋" w:cs="方正大标宋_GBK"/>
          <w:color w:val="FF0000"/>
          <w:sz w:val="30"/>
          <w:szCs w:val="30"/>
        </w:rPr>
        <w:t>（2026年征求意见稿）</w:t>
      </w:r>
    </w:p>
    <w:p w14:paraId="7C73D7E0">
      <w:pPr>
        <w:widowControl/>
        <w:adjustRightInd w:val="0"/>
        <w:snapToGrid w:val="0"/>
        <w:spacing w:line="520" w:lineRule="exact"/>
        <w:jc w:val="left"/>
        <w:rPr>
          <w:rFonts w:hint="eastAsia" w:ascii="仿宋" w:hAnsi="仿宋" w:eastAsia="仿宋" w:cs="仿宋"/>
          <w:kern w:val="0"/>
          <w:szCs w:val="28"/>
          <w:lang w:bidi="ar"/>
        </w:rPr>
      </w:pPr>
    </w:p>
    <w:p w14:paraId="032DA64A">
      <w:pPr>
        <w:widowControl/>
        <w:adjustRightInd w:val="0"/>
        <w:snapToGrid w:val="0"/>
        <w:spacing w:line="520" w:lineRule="exact"/>
        <w:ind w:firstLine="560" w:firstLineChars="200"/>
        <w:jc w:val="left"/>
        <w:rPr>
          <w:rFonts w:hint="eastAsia" w:ascii="仿宋" w:hAnsi="仿宋" w:eastAsia="仿宋" w:cs="仿宋"/>
          <w:szCs w:val="28"/>
        </w:rPr>
      </w:pPr>
      <w:r>
        <w:rPr>
          <w:rFonts w:hint="eastAsia" w:ascii="仿宋" w:hAnsi="仿宋" w:eastAsia="仿宋" w:cs="仿宋"/>
          <w:kern w:val="0"/>
          <w:szCs w:val="28"/>
          <w:lang w:bidi="ar"/>
        </w:rPr>
        <w:t>为确保联合会会员间合作顺利开展，遵循《安徽省生产力促进中心联合会业务合作原则》，本人/本单位在</w:t>
      </w:r>
      <w:r>
        <w:rPr>
          <w:rFonts w:hint="eastAsia" w:ascii="仿宋" w:hAnsi="仿宋" w:eastAsia="仿宋" w:cs="仿宋"/>
          <w:kern w:val="0"/>
          <w:szCs w:val="28"/>
          <w:u w:val="single"/>
          <w:lang w:bidi="ar"/>
        </w:rPr>
        <w:t xml:space="preserve">                                     </w:t>
      </w:r>
      <w:r>
        <w:rPr>
          <w:rFonts w:hint="eastAsia" w:ascii="仿宋" w:hAnsi="仿宋" w:eastAsia="仿宋" w:cs="仿宋"/>
          <w:kern w:val="0"/>
          <w:szCs w:val="28"/>
          <w:lang w:bidi="ar"/>
        </w:rPr>
        <w:t>项目中郑重承诺：</w:t>
      </w:r>
    </w:p>
    <w:p w14:paraId="09510661">
      <w:pPr>
        <w:widowControl/>
        <w:adjustRightInd w:val="0"/>
        <w:snapToGrid w:val="0"/>
        <w:spacing w:line="520" w:lineRule="exact"/>
        <w:ind w:firstLine="560" w:firstLineChars="200"/>
        <w:jc w:val="left"/>
        <w:rPr>
          <w:rFonts w:hint="eastAsia" w:ascii="仿宋" w:hAnsi="仿宋" w:eastAsia="仿宋" w:cs="仿宋"/>
          <w:szCs w:val="28"/>
        </w:rPr>
      </w:pPr>
      <w:r>
        <w:rPr>
          <w:rFonts w:hint="eastAsia" w:ascii="仿宋" w:hAnsi="仿宋" w:eastAsia="仿宋" w:cs="仿宋"/>
          <w:kern w:val="0"/>
          <w:szCs w:val="28"/>
          <w:lang w:bidi="ar"/>
        </w:rPr>
        <w:t>一、秉持积极合作态度，保持全程顺畅沟通，主动反馈进展，平等协商解决分歧，杜绝推诿。</w:t>
      </w:r>
    </w:p>
    <w:p w14:paraId="046E7223">
      <w:pPr>
        <w:widowControl/>
        <w:adjustRightInd w:val="0"/>
        <w:snapToGrid w:val="0"/>
        <w:spacing w:line="520" w:lineRule="exact"/>
        <w:ind w:firstLine="560" w:firstLineChars="200"/>
        <w:jc w:val="left"/>
        <w:rPr>
          <w:rFonts w:hint="eastAsia" w:ascii="仿宋" w:hAnsi="仿宋" w:eastAsia="仿宋" w:cs="仿宋"/>
          <w:szCs w:val="28"/>
        </w:rPr>
      </w:pPr>
      <w:r>
        <w:rPr>
          <w:rFonts w:hint="eastAsia" w:ascii="仿宋" w:hAnsi="仿宋" w:eastAsia="仿宋" w:cs="仿宋"/>
          <w:kern w:val="0"/>
          <w:szCs w:val="28"/>
          <w:lang w:bidi="ar"/>
        </w:rPr>
        <w:t>二、严格按协议要求执行项目，调配优质资源，制定并落实执行计划，保障项目按时完成。</w:t>
      </w:r>
    </w:p>
    <w:p w14:paraId="1C1D6A58">
      <w:pPr>
        <w:widowControl/>
        <w:adjustRightInd w:val="0"/>
        <w:snapToGrid w:val="0"/>
        <w:spacing w:line="520" w:lineRule="exact"/>
        <w:ind w:firstLine="560" w:firstLineChars="200"/>
        <w:jc w:val="left"/>
        <w:rPr>
          <w:rFonts w:hint="eastAsia" w:ascii="仿宋" w:hAnsi="仿宋" w:eastAsia="仿宋" w:cs="仿宋"/>
          <w:szCs w:val="28"/>
        </w:rPr>
      </w:pPr>
      <w:r>
        <w:rPr>
          <w:rFonts w:hint="eastAsia" w:ascii="仿宋" w:hAnsi="仿宋" w:eastAsia="仿宋" w:cs="仿宋"/>
          <w:kern w:val="0"/>
          <w:szCs w:val="28"/>
          <w:lang w:bidi="ar"/>
        </w:rPr>
        <w:t>三、全面投入资源，为项目提供全方位物质与技术支持。</w:t>
      </w:r>
    </w:p>
    <w:p w14:paraId="2F85810C">
      <w:pPr>
        <w:widowControl/>
        <w:adjustRightInd w:val="0"/>
        <w:snapToGrid w:val="0"/>
        <w:spacing w:line="520" w:lineRule="exact"/>
        <w:ind w:firstLine="560" w:firstLineChars="200"/>
        <w:jc w:val="left"/>
        <w:rPr>
          <w:rFonts w:hint="eastAsia" w:ascii="仿宋" w:hAnsi="仿宋" w:eastAsia="仿宋" w:cs="仿宋"/>
          <w:szCs w:val="28"/>
        </w:rPr>
      </w:pPr>
      <w:r>
        <w:rPr>
          <w:rFonts w:hint="eastAsia" w:ascii="仿宋" w:hAnsi="仿宋" w:eastAsia="仿宋" w:cs="仿宋"/>
          <w:kern w:val="0"/>
          <w:szCs w:val="28"/>
          <w:lang w:bidi="ar"/>
        </w:rPr>
        <w:t>四、严守商业秘密，未经书面同意不向第三方披露保密信息；依约处理知识产权归属。</w:t>
      </w:r>
    </w:p>
    <w:p w14:paraId="2FB47C75">
      <w:pPr>
        <w:widowControl/>
        <w:adjustRightInd w:val="0"/>
        <w:snapToGrid w:val="0"/>
        <w:spacing w:line="520" w:lineRule="exact"/>
        <w:ind w:firstLine="560" w:firstLineChars="200"/>
        <w:jc w:val="left"/>
        <w:rPr>
          <w:rFonts w:hint="eastAsia" w:ascii="仿宋" w:hAnsi="仿宋" w:eastAsia="仿宋" w:cs="仿宋"/>
          <w:kern w:val="0"/>
          <w:szCs w:val="28"/>
          <w:lang w:bidi="ar"/>
        </w:rPr>
      </w:pPr>
      <w:r>
        <w:rPr>
          <w:rFonts w:hint="eastAsia" w:ascii="仿宋" w:hAnsi="仿宋" w:eastAsia="仿宋" w:cs="仿宋"/>
          <w:kern w:val="0"/>
          <w:szCs w:val="28"/>
          <w:lang w:bidi="ar"/>
        </w:rPr>
        <w:t>五、恪守诚信经营，杜绝违法违规行为，按规按时支付费用，违法违规愿担责赔偿。</w:t>
      </w:r>
    </w:p>
    <w:p w14:paraId="3A1758D7">
      <w:pPr>
        <w:widowControl/>
        <w:adjustRightInd w:val="0"/>
        <w:snapToGrid w:val="0"/>
        <w:spacing w:line="360" w:lineRule="auto"/>
        <w:jc w:val="left"/>
        <w:rPr>
          <w:rFonts w:hint="eastAsia" w:ascii="仿宋" w:hAnsi="仿宋" w:eastAsia="仿宋" w:cs="仿宋"/>
          <w:kern w:val="0"/>
          <w:szCs w:val="28"/>
          <w:lang w:bidi="ar"/>
        </w:rPr>
      </w:pPr>
      <w:r>
        <w:rPr>
          <w:szCs w:val="2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172085</wp:posOffset>
                </wp:positionV>
                <wp:extent cx="5718810" cy="2430780"/>
                <wp:effectExtent l="0" t="0" r="15240" b="26670"/>
                <wp:wrapNone/>
                <wp:docPr id="1321737075" name="文本框 2"/>
                <wp:cNvGraphicFramePr/>
                <a:graphic xmlns:a="http://schemas.openxmlformats.org/drawingml/2006/main">
                  <a:graphicData uri="http://schemas.microsoft.com/office/word/2010/wordprocessingShape">
                    <wps:wsp>
                      <wps:cNvSpPr txBox="1">
                        <a:spLocks noChangeArrowheads="1"/>
                      </wps:cNvSpPr>
                      <wps:spPr bwMode="auto">
                        <a:xfrm>
                          <a:off x="0" y="0"/>
                          <a:ext cx="5719127" cy="2430780"/>
                        </a:xfrm>
                        <a:prstGeom prst="rect">
                          <a:avLst/>
                        </a:prstGeom>
                        <a:solidFill>
                          <a:srgbClr val="FFFFFF"/>
                        </a:solidFill>
                        <a:ln w="9525">
                          <a:solidFill>
                            <a:srgbClr val="000000"/>
                          </a:solidFill>
                          <a:miter lim="800000"/>
                        </a:ln>
                        <a:effectLst/>
                      </wps:spPr>
                      <wps:txbx>
                        <w:txbxContent>
                          <w:p w14:paraId="005DC150">
                            <w:pPr>
                              <w:adjustRightInd w:val="0"/>
                              <w:snapToGrid w:val="0"/>
                              <w:ind w:left="278"/>
                              <w:jc w:val="center"/>
                              <w:rPr>
                                <w:rFonts w:hint="eastAsia" w:ascii="黑体" w:hAnsi="黑体" w:eastAsia="黑体" w:cs="黑体"/>
                                <w:sz w:val="32"/>
                                <w:szCs w:val="32"/>
                              </w:rPr>
                            </w:pPr>
                            <w:r>
                              <w:rPr>
                                <w:rFonts w:hint="eastAsia" w:ascii="黑体" w:hAnsi="黑体" w:eastAsia="黑体" w:cs="黑体"/>
                                <w:sz w:val="32"/>
                                <w:szCs w:val="32"/>
                              </w:rPr>
                              <w:t>业务合作形式及收益分配</w:t>
                            </w:r>
                          </w:p>
                          <w:p w14:paraId="1A8A18E2">
                            <w:pPr>
                              <w:adjustRightInd w:val="0"/>
                              <w:snapToGrid w:val="0"/>
                              <w:ind w:left="278"/>
                              <w:rPr>
                                <w:rFonts w:hint="eastAsia" w:ascii="仿宋" w:hAnsi="仿宋" w:eastAsia="仿宋" w:cs="仿宋"/>
                                <w:szCs w:val="28"/>
                              </w:rPr>
                            </w:pPr>
                            <w:r>
                              <w:rPr>
                                <w:rFonts w:hint="eastAsia" w:ascii="仿宋" w:hAnsi="仿宋" w:eastAsia="仿宋" w:cs="仿宋"/>
                                <w:b/>
                                <w:bCs/>
                                <w:szCs w:val="28"/>
                              </w:rPr>
                              <w:t>□</w:t>
                            </w:r>
                            <w:r>
                              <w:rPr>
                                <w:rFonts w:hint="eastAsia" w:ascii="黑体" w:hAnsi="黑体" w:eastAsia="黑体" w:cs="仿宋"/>
                                <w:b/>
                                <w:bCs/>
                                <w:szCs w:val="28"/>
                              </w:rPr>
                              <w:t>会员间推介业务：</w:t>
                            </w:r>
                            <w:r>
                              <w:rPr>
                                <w:rFonts w:hint="eastAsia" w:ascii="仿宋" w:hAnsi="仿宋" w:eastAsia="仿宋" w:cs="仿宋"/>
                                <w:szCs w:val="28"/>
                              </w:rPr>
                              <w:t>推介方通过联合会将业务推荐给其他会员，承接方按合同金额的20%支付推介方作为回报；</w:t>
                            </w:r>
                          </w:p>
                          <w:p w14:paraId="3EE949BA">
                            <w:pPr>
                              <w:adjustRightInd w:val="0"/>
                              <w:snapToGrid w:val="0"/>
                              <w:ind w:left="278"/>
                              <w:rPr>
                                <w:rFonts w:hint="eastAsia" w:ascii="仿宋" w:hAnsi="仿宋" w:eastAsia="仿宋" w:cs="仿宋"/>
                                <w:szCs w:val="28"/>
                              </w:rPr>
                            </w:pPr>
                            <w:r>
                              <w:rPr>
                                <w:rFonts w:hint="eastAsia" w:ascii="仿宋" w:hAnsi="仿宋" w:eastAsia="仿宋" w:cs="仿宋"/>
                                <w:b/>
                                <w:bCs/>
                                <w:szCs w:val="28"/>
                              </w:rPr>
                              <w:t>□</w:t>
                            </w:r>
                            <w:r>
                              <w:rPr>
                                <w:rFonts w:hint="eastAsia" w:ascii="黑体" w:hAnsi="黑体" w:eastAsia="黑体" w:cs="仿宋"/>
                                <w:b/>
                                <w:bCs/>
                                <w:szCs w:val="28"/>
                              </w:rPr>
                              <w:t>联合会推介业务：</w:t>
                            </w:r>
                            <w:r>
                              <w:rPr>
                                <w:rFonts w:hint="eastAsia" w:ascii="仿宋" w:hAnsi="仿宋" w:eastAsia="仿宋" w:cs="仿宋"/>
                                <w:szCs w:val="28"/>
                              </w:rPr>
                              <w:t>联合会通过非会员渠道推介业务至会员，承接方按合同金额的10%支付资源方，另10%捐赠至联合会作为联合会活动经费；</w:t>
                            </w:r>
                          </w:p>
                          <w:p w14:paraId="16BE442F">
                            <w:pPr>
                              <w:adjustRightInd w:val="0"/>
                              <w:snapToGrid w:val="0"/>
                              <w:ind w:left="278"/>
                              <w:rPr>
                                <w:rFonts w:hint="eastAsia" w:ascii="仿宋" w:hAnsi="仿宋" w:eastAsia="仿宋" w:cs="仿宋"/>
                                <w:szCs w:val="28"/>
                              </w:rPr>
                            </w:pPr>
                            <w:r>
                              <w:rPr>
                                <w:rFonts w:hint="eastAsia" w:ascii="仿宋" w:hAnsi="仿宋" w:eastAsia="仿宋" w:cs="仿宋"/>
                                <w:b/>
                                <w:bCs/>
                                <w:szCs w:val="28"/>
                              </w:rPr>
                              <w:t>□</w:t>
                            </w:r>
                            <w:r>
                              <w:rPr>
                                <w:rFonts w:hint="eastAsia" w:ascii="黑体" w:hAnsi="黑体" w:eastAsia="黑体" w:cs="仿宋"/>
                                <w:b/>
                                <w:bCs/>
                                <w:szCs w:val="28"/>
                              </w:rPr>
                              <w:t>联合会发布业务：</w:t>
                            </w:r>
                            <w:r>
                              <w:rPr>
                                <w:rFonts w:hint="eastAsia" w:ascii="仿宋" w:hAnsi="仿宋" w:eastAsia="仿宋" w:cs="仿宋"/>
                                <w:szCs w:val="28"/>
                              </w:rPr>
                              <w:t>联合会活动开展中，意向合作单位原则上先成为联合会会员，如成功合作，按合同金额的10%捐赠至联合会；</w:t>
                            </w:r>
                          </w:p>
                          <w:p w14:paraId="1C4A69DC">
                            <w:pPr>
                              <w:adjustRightInd w:val="0"/>
                              <w:snapToGrid w:val="0"/>
                              <w:ind w:left="278"/>
                              <w:rPr>
                                <w:rFonts w:hint="eastAsia" w:ascii="仿宋" w:hAnsi="仿宋" w:eastAsia="仿宋" w:cs="仿宋"/>
                                <w:szCs w:val="28"/>
                              </w:rPr>
                            </w:pPr>
                            <w:r>
                              <w:rPr>
                                <w:rFonts w:hint="eastAsia" w:ascii="仿宋" w:hAnsi="仿宋" w:eastAsia="仿宋" w:cs="仿宋"/>
                                <w:b/>
                                <w:bCs/>
                                <w:szCs w:val="28"/>
                              </w:rPr>
                              <w:t>□</w:t>
                            </w:r>
                            <w:r>
                              <w:rPr>
                                <w:rFonts w:hint="eastAsia" w:ascii="仿宋" w:hAnsi="仿宋" w:eastAsia="仿宋" w:cs="仿宋"/>
                                <w:szCs w:val="28"/>
                              </w:rPr>
                              <w:t>特殊业务可以一事一议，协商约定；</w:t>
                            </w:r>
                          </w:p>
                          <w:p w14:paraId="6DCBEBE5">
                            <w:pPr>
                              <w:adjustRightInd w:val="0"/>
                              <w:snapToGrid w:val="0"/>
                              <w:ind w:left="278"/>
                              <w:rPr>
                                <w:rFonts w:hint="eastAsia" w:ascii="仿宋" w:hAnsi="仿宋" w:eastAsia="仿宋" w:cs="仿宋"/>
                                <w:szCs w:val="28"/>
                              </w:rPr>
                            </w:pPr>
                            <w:r>
                              <w:rPr>
                                <w:rFonts w:hint="eastAsia" w:ascii="仿宋" w:hAnsi="仿宋" w:eastAsia="仿宋" w:cs="仿宋"/>
                                <w:b/>
                                <w:bCs/>
                                <w:szCs w:val="28"/>
                              </w:rPr>
                              <w:t>□</w:t>
                            </w:r>
                            <w:r>
                              <w:rPr>
                                <w:rFonts w:hint="eastAsia" w:ascii="仿宋" w:hAnsi="仿宋" w:eastAsia="仿宋" w:cs="仿宋"/>
                                <w:szCs w:val="28"/>
                              </w:rPr>
                              <w:t>各项费用支付时间，应自款到账户之日起15个工作日内完成。</w:t>
                            </w: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top:13.55pt;height:191.4pt;width:450.3pt;mso-position-horizontal:right;mso-position-horizontal-relative:margin;z-index:251659264;mso-width-relative:page;mso-height-relative:page;" fillcolor="#FFFFFF" filled="t" stroked="t" coordsize="21600,21600" o:gfxdata="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15/WW1gAAAAcBAAAPAAAA&#10;AAAAAAEAIAAAACIAAABkcnMvZG93bnJldi54bWxQSwECFAAUAAAACACHTuJAmSk7k1ACAACfBAAA&#10;DgAAAAAAAAABACAAAAAlAQAAZHJzL2Uyb0RvYy54bWxQSwUGAAAAAAYABgBZAQAA5wUAAAAA&#10;">
                <v:fill on="t" focussize="0,0"/>
                <v:stroke color="#000000" miterlimit="8" joinstyle="miter"/>
                <v:imagedata o:title=""/>
                <o:lock v:ext="edit" aspectratio="f"/>
                <v:textbox>
                  <w:txbxContent>
                    <w:p w14:paraId="005DC150">
                      <w:pPr>
                        <w:adjustRightInd w:val="0"/>
                        <w:snapToGrid w:val="0"/>
                        <w:ind w:left="278"/>
                        <w:jc w:val="center"/>
                        <w:rPr>
                          <w:rFonts w:hint="eastAsia" w:ascii="黑体" w:hAnsi="黑体" w:eastAsia="黑体" w:cs="黑体"/>
                          <w:sz w:val="32"/>
                          <w:szCs w:val="32"/>
                        </w:rPr>
                      </w:pPr>
                      <w:r>
                        <w:rPr>
                          <w:rFonts w:hint="eastAsia" w:ascii="黑体" w:hAnsi="黑体" w:eastAsia="黑体" w:cs="黑体"/>
                          <w:sz w:val="32"/>
                          <w:szCs w:val="32"/>
                        </w:rPr>
                        <w:t>业务合作形式及收益分配</w:t>
                      </w:r>
                    </w:p>
                    <w:p w14:paraId="1A8A18E2">
                      <w:pPr>
                        <w:adjustRightInd w:val="0"/>
                        <w:snapToGrid w:val="0"/>
                        <w:ind w:left="278"/>
                        <w:rPr>
                          <w:rFonts w:hint="eastAsia" w:ascii="仿宋" w:hAnsi="仿宋" w:eastAsia="仿宋" w:cs="仿宋"/>
                          <w:szCs w:val="28"/>
                        </w:rPr>
                      </w:pPr>
                      <w:r>
                        <w:rPr>
                          <w:rFonts w:hint="eastAsia" w:ascii="仿宋" w:hAnsi="仿宋" w:eastAsia="仿宋" w:cs="仿宋"/>
                          <w:b/>
                          <w:bCs/>
                          <w:szCs w:val="28"/>
                        </w:rPr>
                        <w:t>□</w:t>
                      </w:r>
                      <w:r>
                        <w:rPr>
                          <w:rFonts w:hint="eastAsia" w:ascii="黑体" w:hAnsi="黑体" w:eastAsia="黑体" w:cs="仿宋"/>
                          <w:b/>
                          <w:bCs/>
                          <w:szCs w:val="28"/>
                        </w:rPr>
                        <w:t>会员间推介业务：</w:t>
                      </w:r>
                      <w:r>
                        <w:rPr>
                          <w:rFonts w:hint="eastAsia" w:ascii="仿宋" w:hAnsi="仿宋" w:eastAsia="仿宋" w:cs="仿宋"/>
                          <w:szCs w:val="28"/>
                        </w:rPr>
                        <w:t>推介方通过联合会将业务推荐给其他会员，承接方按合同金额的20%支付推介方作为回报；</w:t>
                      </w:r>
                    </w:p>
                    <w:p w14:paraId="3EE949BA">
                      <w:pPr>
                        <w:adjustRightInd w:val="0"/>
                        <w:snapToGrid w:val="0"/>
                        <w:ind w:left="278"/>
                        <w:rPr>
                          <w:rFonts w:hint="eastAsia" w:ascii="仿宋" w:hAnsi="仿宋" w:eastAsia="仿宋" w:cs="仿宋"/>
                          <w:szCs w:val="28"/>
                        </w:rPr>
                      </w:pPr>
                      <w:r>
                        <w:rPr>
                          <w:rFonts w:hint="eastAsia" w:ascii="仿宋" w:hAnsi="仿宋" w:eastAsia="仿宋" w:cs="仿宋"/>
                          <w:b/>
                          <w:bCs/>
                          <w:szCs w:val="28"/>
                        </w:rPr>
                        <w:t>□</w:t>
                      </w:r>
                      <w:r>
                        <w:rPr>
                          <w:rFonts w:hint="eastAsia" w:ascii="黑体" w:hAnsi="黑体" w:eastAsia="黑体" w:cs="仿宋"/>
                          <w:b/>
                          <w:bCs/>
                          <w:szCs w:val="28"/>
                        </w:rPr>
                        <w:t>联合会推介业务：</w:t>
                      </w:r>
                      <w:r>
                        <w:rPr>
                          <w:rFonts w:hint="eastAsia" w:ascii="仿宋" w:hAnsi="仿宋" w:eastAsia="仿宋" w:cs="仿宋"/>
                          <w:szCs w:val="28"/>
                        </w:rPr>
                        <w:t>联合会通过非会员渠道推介业务至会员，承接方按合同金额的10%支付资源方，另10%捐赠至联合会作为联合会活动经费；</w:t>
                      </w:r>
                    </w:p>
                    <w:p w14:paraId="16BE442F">
                      <w:pPr>
                        <w:adjustRightInd w:val="0"/>
                        <w:snapToGrid w:val="0"/>
                        <w:ind w:left="278"/>
                        <w:rPr>
                          <w:rFonts w:hint="eastAsia" w:ascii="仿宋" w:hAnsi="仿宋" w:eastAsia="仿宋" w:cs="仿宋"/>
                          <w:szCs w:val="28"/>
                        </w:rPr>
                      </w:pPr>
                      <w:r>
                        <w:rPr>
                          <w:rFonts w:hint="eastAsia" w:ascii="仿宋" w:hAnsi="仿宋" w:eastAsia="仿宋" w:cs="仿宋"/>
                          <w:b/>
                          <w:bCs/>
                          <w:szCs w:val="28"/>
                        </w:rPr>
                        <w:t>□</w:t>
                      </w:r>
                      <w:r>
                        <w:rPr>
                          <w:rFonts w:hint="eastAsia" w:ascii="黑体" w:hAnsi="黑体" w:eastAsia="黑体" w:cs="仿宋"/>
                          <w:b/>
                          <w:bCs/>
                          <w:szCs w:val="28"/>
                        </w:rPr>
                        <w:t>联合会发布业务：</w:t>
                      </w:r>
                      <w:r>
                        <w:rPr>
                          <w:rFonts w:hint="eastAsia" w:ascii="仿宋" w:hAnsi="仿宋" w:eastAsia="仿宋" w:cs="仿宋"/>
                          <w:szCs w:val="28"/>
                        </w:rPr>
                        <w:t>联合会活动开展中，意向合作单位原则上先成为联合会会员，如成功合作，按合同金额的10%捐赠至联合会；</w:t>
                      </w:r>
                    </w:p>
                    <w:p w14:paraId="1C4A69DC">
                      <w:pPr>
                        <w:adjustRightInd w:val="0"/>
                        <w:snapToGrid w:val="0"/>
                        <w:ind w:left="278"/>
                        <w:rPr>
                          <w:rFonts w:hint="eastAsia" w:ascii="仿宋" w:hAnsi="仿宋" w:eastAsia="仿宋" w:cs="仿宋"/>
                          <w:szCs w:val="28"/>
                        </w:rPr>
                      </w:pPr>
                      <w:r>
                        <w:rPr>
                          <w:rFonts w:hint="eastAsia" w:ascii="仿宋" w:hAnsi="仿宋" w:eastAsia="仿宋" w:cs="仿宋"/>
                          <w:b/>
                          <w:bCs/>
                          <w:szCs w:val="28"/>
                        </w:rPr>
                        <w:t>□</w:t>
                      </w:r>
                      <w:r>
                        <w:rPr>
                          <w:rFonts w:hint="eastAsia" w:ascii="仿宋" w:hAnsi="仿宋" w:eastAsia="仿宋" w:cs="仿宋"/>
                          <w:szCs w:val="28"/>
                        </w:rPr>
                        <w:t>特殊业务可以一事一议，协商约定；</w:t>
                      </w:r>
                    </w:p>
                    <w:p w14:paraId="6DCBEBE5">
                      <w:pPr>
                        <w:adjustRightInd w:val="0"/>
                        <w:snapToGrid w:val="0"/>
                        <w:ind w:left="278"/>
                        <w:rPr>
                          <w:rFonts w:hint="eastAsia" w:ascii="仿宋" w:hAnsi="仿宋" w:eastAsia="仿宋" w:cs="仿宋"/>
                          <w:szCs w:val="28"/>
                        </w:rPr>
                      </w:pPr>
                      <w:r>
                        <w:rPr>
                          <w:rFonts w:hint="eastAsia" w:ascii="仿宋" w:hAnsi="仿宋" w:eastAsia="仿宋" w:cs="仿宋"/>
                          <w:b/>
                          <w:bCs/>
                          <w:szCs w:val="28"/>
                        </w:rPr>
                        <w:t>□</w:t>
                      </w:r>
                      <w:r>
                        <w:rPr>
                          <w:rFonts w:hint="eastAsia" w:ascii="仿宋" w:hAnsi="仿宋" w:eastAsia="仿宋" w:cs="仿宋"/>
                          <w:szCs w:val="28"/>
                        </w:rPr>
                        <w:t>各项费用支付时间，应自款到账户之日起15个工作日内完成。</w:t>
                      </w:r>
                    </w:p>
                  </w:txbxContent>
                </v:textbox>
              </v:shape>
            </w:pict>
          </mc:Fallback>
        </mc:AlternateContent>
      </w:r>
    </w:p>
    <w:p w14:paraId="2CB7FCC2">
      <w:pPr>
        <w:widowControl/>
        <w:adjustRightInd w:val="0"/>
        <w:snapToGrid w:val="0"/>
        <w:spacing w:line="360" w:lineRule="auto"/>
        <w:jc w:val="left"/>
        <w:rPr>
          <w:rFonts w:hint="eastAsia" w:ascii="仿宋" w:hAnsi="仿宋" w:eastAsia="仿宋" w:cs="仿宋"/>
          <w:kern w:val="0"/>
          <w:szCs w:val="28"/>
          <w:lang w:bidi="ar"/>
        </w:rPr>
      </w:pPr>
    </w:p>
    <w:p w14:paraId="29687159">
      <w:pPr>
        <w:widowControl/>
        <w:adjustRightInd w:val="0"/>
        <w:snapToGrid w:val="0"/>
        <w:spacing w:line="360" w:lineRule="auto"/>
        <w:jc w:val="left"/>
        <w:rPr>
          <w:rFonts w:hint="eastAsia" w:ascii="仿宋" w:hAnsi="仿宋" w:eastAsia="仿宋" w:cs="仿宋"/>
          <w:kern w:val="0"/>
          <w:szCs w:val="28"/>
          <w:lang w:bidi="ar"/>
        </w:rPr>
      </w:pPr>
    </w:p>
    <w:p w14:paraId="26D13920">
      <w:pPr>
        <w:widowControl/>
        <w:adjustRightInd w:val="0"/>
        <w:snapToGrid w:val="0"/>
        <w:spacing w:line="360" w:lineRule="auto"/>
        <w:jc w:val="left"/>
        <w:rPr>
          <w:rFonts w:hint="eastAsia" w:ascii="仿宋" w:hAnsi="仿宋" w:eastAsia="仿宋" w:cs="仿宋"/>
          <w:kern w:val="0"/>
          <w:szCs w:val="28"/>
          <w:lang w:bidi="ar"/>
        </w:rPr>
      </w:pPr>
    </w:p>
    <w:p w14:paraId="438959A4">
      <w:pPr>
        <w:widowControl/>
        <w:adjustRightInd w:val="0"/>
        <w:snapToGrid w:val="0"/>
        <w:spacing w:line="360" w:lineRule="auto"/>
        <w:jc w:val="left"/>
        <w:rPr>
          <w:rFonts w:hint="eastAsia" w:ascii="仿宋" w:hAnsi="仿宋" w:eastAsia="仿宋" w:cs="仿宋"/>
          <w:kern w:val="0"/>
          <w:szCs w:val="28"/>
          <w:lang w:bidi="ar"/>
        </w:rPr>
      </w:pPr>
    </w:p>
    <w:p w14:paraId="0740BA54">
      <w:pPr>
        <w:widowControl/>
        <w:adjustRightInd w:val="0"/>
        <w:snapToGrid w:val="0"/>
        <w:spacing w:line="360" w:lineRule="auto"/>
        <w:jc w:val="left"/>
        <w:rPr>
          <w:rFonts w:hint="eastAsia" w:ascii="仿宋" w:hAnsi="仿宋" w:eastAsia="仿宋" w:cs="仿宋"/>
          <w:kern w:val="0"/>
          <w:szCs w:val="28"/>
          <w:lang w:bidi="ar"/>
        </w:rPr>
      </w:pPr>
    </w:p>
    <w:p w14:paraId="5938E282">
      <w:pPr>
        <w:widowControl/>
        <w:adjustRightInd w:val="0"/>
        <w:snapToGrid w:val="0"/>
        <w:spacing w:line="360" w:lineRule="auto"/>
        <w:jc w:val="left"/>
        <w:rPr>
          <w:rFonts w:hint="eastAsia" w:ascii="仿宋" w:hAnsi="仿宋" w:eastAsia="仿宋" w:cs="仿宋"/>
          <w:kern w:val="0"/>
          <w:szCs w:val="28"/>
          <w:lang w:bidi="ar"/>
        </w:rPr>
      </w:pPr>
    </w:p>
    <w:p w14:paraId="765685B1">
      <w:pPr>
        <w:widowControl/>
        <w:adjustRightInd w:val="0"/>
        <w:snapToGrid w:val="0"/>
        <w:spacing w:line="360" w:lineRule="auto"/>
        <w:jc w:val="left"/>
        <w:rPr>
          <w:rFonts w:hint="eastAsia" w:ascii="仿宋" w:hAnsi="仿宋" w:eastAsia="仿宋" w:cs="仿宋"/>
          <w:kern w:val="0"/>
          <w:szCs w:val="28"/>
          <w:lang w:bidi="ar"/>
        </w:rPr>
      </w:pPr>
    </w:p>
    <w:p w14:paraId="59713933">
      <w:pPr>
        <w:widowControl/>
        <w:adjustRightInd w:val="0"/>
        <w:snapToGrid w:val="0"/>
        <w:spacing w:line="360" w:lineRule="auto"/>
        <w:ind w:firstLine="2800" w:firstLineChars="1000"/>
        <w:jc w:val="left"/>
        <w:rPr>
          <w:rFonts w:hint="eastAsia" w:ascii="仿宋" w:hAnsi="仿宋" w:eastAsia="仿宋" w:cs="仿宋"/>
          <w:szCs w:val="28"/>
        </w:rPr>
      </w:pPr>
      <w:r>
        <w:rPr>
          <w:rFonts w:hint="eastAsia" w:ascii="仿宋" w:hAnsi="仿宋" w:eastAsia="仿宋" w:cs="仿宋"/>
          <w:kern w:val="0"/>
          <w:szCs w:val="28"/>
          <w:lang w:bidi="ar"/>
        </w:rPr>
        <w:t>承诺人/单位（盖章）：</w:t>
      </w:r>
      <w:r>
        <w:rPr>
          <w:rFonts w:hint="eastAsia" w:ascii="仿宋" w:hAnsi="仿宋" w:eastAsia="仿宋" w:cs="仿宋"/>
          <w:kern w:val="0"/>
          <w:szCs w:val="28"/>
          <w:u w:val="single"/>
          <w:lang w:bidi="ar"/>
        </w:rPr>
        <w:t xml:space="preserve">                         </w:t>
      </w:r>
    </w:p>
    <w:p w14:paraId="67AC4C3E">
      <w:pPr>
        <w:widowControl/>
        <w:adjustRightInd w:val="0"/>
        <w:snapToGrid w:val="0"/>
        <w:spacing w:line="360" w:lineRule="auto"/>
        <w:ind w:firstLine="4760" w:firstLineChars="1700"/>
        <w:jc w:val="left"/>
        <w:rPr>
          <w:rFonts w:hint="eastAsia" w:ascii="仿宋" w:hAnsi="仿宋" w:eastAsia="仿宋" w:cs="仿宋"/>
          <w:szCs w:val="28"/>
        </w:rPr>
      </w:pPr>
      <w:r>
        <w:rPr>
          <w:rFonts w:hint="eastAsia" w:ascii="仿宋" w:hAnsi="仿宋" w:eastAsia="仿宋" w:cs="仿宋"/>
          <w:kern w:val="0"/>
          <w:szCs w:val="28"/>
          <w:lang w:bidi="ar"/>
        </w:rPr>
        <w:t xml:space="preserve">日期：       年     月     日     </w:t>
      </w:r>
    </w:p>
    <w:sectPr>
      <w:pgSz w:w="11906" w:h="16838"/>
      <w:pgMar w:top="1440" w:right="1440" w:bottom="1440" w:left="1440" w:header="851" w:footer="992" w:gutter="0"/>
      <w:cols w:space="720" w:num="1"/>
      <w:docGrid w:type="lines"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大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40"/>
  <w:drawingGridVerticalSpacing w:val="381"/>
  <w:displayHorizont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D2E"/>
    <w:rsid w:val="00221426"/>
    <w:rsid w:val="0022339D"/>
    <w:rsid w:val="003A5095"/>
    <w:rsid w:val="003D4D2E"/>
    <w:rsid w:val="00410721"/>
    <w:rsid w:val="005C71A2"/>
    <w:rsid w:val="005E4834"/>
    <w:rsid w:val="0082368C"/>
    <w:rsid w:val="00827F7B"/>
    <w:rsid w:val="008349B3"/>
    <w:rsid w:val="00905799"/>
    <w:rsid w:val="0097150F"/>
    <w:rsid w:val="00A31E8F"/>
    <w:rsid w:val="00AF7A8B"/>
    <w:rsid w:val="00B00E01"/>
    <w:rsid w:val="00B40AFF"/>
    <w:rsid w:val="00B92797"/>
    <w:rsid w:val="00C42998"/>
    <w:rsid w:val="00E566B5"/>
    <w:rsid w:val="00E820D3"/>
    <w:rsid w:val="00E970B7"/>
    <w:rsid w:val="00F64615"/>
    <w:rsid w:val="00FF7A4A"/>
    <w:rsid w:val="05F11B6D"/>
    <w:rsid w:val="08EE04EE"/>
    <w:rsid w:val="0F6C03BE"/>
    <w:rsid w:val="15107A3E"/>
    <w:rsid w:val="151F0755"/>
    <w:rsid w:val="154046C9"/>
    <w:rsid w:val="166E785F"/>
    <w:rsid w:val="185C36C6"/>
    <w:rsid w:val="1862579E"/>
    <w:rsid w:val="198C1D89"/>
    <w:rsid w:val="1A5B1D8D"/>
    <w:rsid w:val="1D56467A"/>
    <w:rsid w:val="1FB931AC"/>
    <w:rsid w:val="23735D67"/>
    <w:rsid w:val="2B3F5FB7"/>
    <w:rsid w:val="308A26A8"/>
    <w:rsid w:val="371A496B"/>
    <w:rsid w:val="3C575C02"/>
    <w:rsid w:val="47095F17"/>
    <w:rsid w:val="47E35865"/>
    <w:rsid w:val="48F055E1"/>
    <w:rsid w:val="4A6D70BC"/>
    <w:rsid w:val="4BB17D7A"/>
    <w:rsid w:val="4BF802E4"/>
    <w:rsid w:val="4C1130DA"/>
    <w:rsid w:val="534D1B28"/>
    <w:rsid w:val="536260E7"/>
    <w:rsid w:val="54502107"/>
    <w:rsid w:val="57174680"/>
    <w:rsid w:val="5C6A69EB"/>
    <w:rsid w:val="602930C4"/>
    <w:rsid w:val="647A1DAB"/>
    <w:rsid w:val="64986E00"/>
    <w:rsid w:val="660758C0"/>
    <w:rsid w:val="67266D4D"/>
    <w:rsid w:val="6D2A0812"/>
    <w:rsid w:val="743B1213"/>
    <w:rsid w:val="748D57F0"/>
    <w:rsid w:val="79A021E4"/>
    <w:rsid w:val="7CC74273"/>
    <w:rsid w:val="7CCC36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8"/>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6"/>
    <w:uiPriority w:val="0"/>
    <w:pPr>
      <w:tabs>
        <w:tab w:val="center" w:pos="4153"/>
        <w:tab w:val="right" w:pos="8306"/>
      </w:tabs>
      <w:snapToGrid w:val="0"/>
      <w:jc w:val="left"/>
    </w:pPr>
    <w:rPr>
      <w:sz w:val="18"/>
      <w:szCs w:val="18"/>
    </w:rPr>
  </w:style>
  <w:style w:type="paragraph" w:styleId="3">
    <w:name w:val="header"/>
    <w:basedOn w:val="1"/>
    <w:link w:val="7"/>
    <w:uiPriority w:val="0"/>
    <w:pPr>
      <w:tabs>
        <w:tab w:val="center" w:pos="4153"/>
        <w:tab w:val="right" w:pos="8306"/>
      </w:tabs>
      <w:snapToGrid w:val="0"/>
      <w:jc w:val="center"/>
    </w:pPr>
    <w:rPr>
      <w:sz w:val="18"/>
      <w:szCs w:val="18"/>
    </w:rPr>
  </w:style>
  <w:style w:type="character" w:customStyle="1" w:styleId="6">
    <w:name w:val="页脚 字符"/>
    <w:link w:val="2"/>
    <w:uiPriority w:val="0"/>
    <w:rPr>
      <w:rFonts w:ascii="Calibri" w:hAnsi="Calibri"/>
      <w:kern w:val="2"/>
      <w:sz w:val="18"/>
      <w:szCs w:val="18"/>
    </w:rPr>
  </w:style>
  <w:style w:type="character" w:customStyle="1" w:styleId="7">
    <w:name w:val="页眉 字符"/>
    <w:link w:val="3"/>
    <w:uiPriority w:val="0"/>
    <w:rPr>
      <w:rFonts w:ascii="Calibri" w:hAnsi="Calibri"/>
      <w:kern w:val="2"/>
      <w:sz w:val="18"/>
      <w:szCs w:val="18"/>
    </w:rPr>
  </w:style>
  <w:style w:type="paragraph" w:styleId="8">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1072</Words>
  <Characters>1096</Characters>
  <Lines>9</Lines>
  <Paragraphs>2</Paragraphs>
  <TotalTime>39</TotalTime>
  <ScaleCrop>false</ScaleCrop>
  <LinksUpToDate>false</LinksUpToDate>
  <CharactersWithSpaces>1167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2026-01-30T02:45:00Z</dcterms:created>
  <dc:creator>Administrator</dc:creator>
  <cp:lastModifiedBy>无翼飞翔</cp:lastModifiedBy>
  <dcterms:modified xsi:type="dcterms:W3CDTF">2026-04-15T08:01:01Z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8336B410BAE046E39890E53DE95618AC_13</vt:lpwstr>
  </property>
  <property fmtid="{D5CDD505-2E9C-101B-9397-08002B2CF9AE}" pid="4" name="KSOTemplateDocerSaveRecord">
    <vt:lpwstr>eyJoZGlkIjoiMjY1NDI0MTkzNjYzMDgxYTJjMDUwMzc3OGFkZGZiMTciLCJ1c2VySWQiOiIyMjc1NDM0MDgifQ==</vt:lpwstr>
  </property>
</Properties>
</file>